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97"/>
        <w:ind w:right="19" w:firstLine="0"/>
        <w:jc w:val="right"/>
        <w:shd w:val="clear" w:fill="FFFFFF" w:color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Приложение № 17</w:t>
        <w:br/>
        <w:t xml:space="preserve">к протоколу заседания Правления</w:t>
        <w:br/>
        <w:t xml:space="preserve">Региональной службы по тарифам</w:t>
        <w:br/>
        <w:t xml:space="preserve">Ростовской области</w:t>
        <w:br/>
        <w:t xml:space="preserve">от 20.12.2021 № 71</w:t>
      </w:r>
      <w:r/>
    </w:p>
    <w:p>
      <w:pPr>
        <w:pStyle w:val="597"/>
        <w:jc w:val="center"/>
        <w:rPr>
          <w:b/>
          <w:sz w:val="20"/>
        </w:rPr>
      </w:pPr>
      <w:r>
        <w:rPr>
          <w:b/>
          <w:sz w:val="2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7220" cy="617220"/>
                <wp:effectExtent l="0" t="0" r="0" b="0"/>
                <wp:docPr id="1" name="Image1" descr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1" descr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9"/>
                        <a:srcRect l="-26" t="-26" r="-25" b="-25"/>
                        <a:stretch/>
                      </pic:blipFill>
                      <pic:spPr bwMode="auto">
                        <a:xfrm>
                          <a:off x="0" y="0"/>
                          <a:ext cx="617220" cy="6172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48.6pt;height:48.6pt;" stroked="false">
                <v:path textboxrect="0,0,0,0"/>
                <v:imagedata r:id="rId9" o:title=""/>
              </v:shape>
            </w:pict>
          </mc:Fallback>
        </mc:AlternateContent>
      </w:r>
      <w:r/>
    </w:p>
    <w:p>
      <w:pPr>
        <w:pStyle w:val="59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/>
    </w:p>
    <w:p>
      <w:pPr>
        <w:pStyle w:val="59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РЕГИОНАЛЬНАЯ СЛУЖБА ПО ТАРИФАМ</w:t>
      </w:r>
      <w:r/>
    </w:p>
    <w:p>
      <w:pPr>
        <w:pStyle w:val="59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РОСТОВСКОЙ ОБЛАСТИ</w:t>
      </w:r>
      <w:r/>
    </w:p>
    <w:p>
      <w:pPr>
        <w:pStyle w:val="59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/>
    </w:p>
    <w:p>
      <w:pPr>
        <w:pStyle w:val="59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ПОСТАНОВЛЕНИЕ</w:t>
      </w:r>
      <w:r/>
    </w:p>
    <w:p>
      <w:pPr>
        <w:pStyle w:val="597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pStyle w:val="597"/>
        <w:ind w:right="665" w:firstLine="540"/>
        <w:shd w:val="clear" w:fill="FFFFFF" w:color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20.12.2021</w:t>
        <w:tab/>
        <w:tab/>
        <w:tab/>
        <w:t xml:space="preserve">г. Ростов-на-Дону</w:t>
        <w:tab/>
        <w:tab/>
        <w:tab/>
        <w:t xml:space="preserve">№ 71/17</w:t>
      </w:r>
      <w:r/>
    </w:p>
    <w:p>
      <w:pPr>
        <w:pStyle w:val="597"/>
        <w:ind w:right="665" w:firstLine="540"/>
        <w:shd w:val="clear" w:fill="FFFFFF" w:color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597"/>
        <w:jc w:val="center"/>
        <w:shd w:val="clear" w:fill="FFFFFF" w:color="auto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Об установлении тарифов </w:t>
      </w:r>
      <w:r>
        <w:rPr>
          <w:b/>
          <w:sz w:val="28"/>
          <w:szCs w:val="28"/>
        </w:rPr>
        <w:t xml:space="preserve">в сфере холодного водоснабжения </w:t>
      </w:r>
      <w:r/>
    </w:p>
    <w:p>
      <w:pPr>
        <w:pStyle w:val="597"/>
        <w:jc w:val="center"/>
        <w:shd w:val="clear" w:fill="FFFFFF" w:color="auto"/>
      </w:pPr>
      <w:r>
        <w:rPr>
          <w:b/>
          <w:sz w:val="28"/>
          <w:szCs w:val="28"/>
        </w:rPr>
        <w:t xml:space="preserve">и водоотведения</w:t>
      </w:r>
      <w:r>
        <w:rPr>
          <w:b/>
          <w:bCs/>
          <w:sz w:val="28"/>
          <w:szCs w:val="28"/>
        </w:rPr>
        <w:t xml:space="preserve"> (транспортировка сточных вод) </w:t>
      </w:r>
      <w:r/>
    </w:p>
    <w:p>
      <w:pPr>
        <w:pStyle w:val="59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ООО «Алексеево» (ИНН 6163129273), Аксайский район, </w:t>
      </w:r>
      <w:r/>
    </w:p>
    <w:p>
      <w:pPr>
        <w:pStyle w:val="59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2022-2024 годы</w:t>
      </w:r>
      <w:r/>
    </w:p>
    <w:p>
      <w:pPr>
        <w:pStyle w:val="597"/>
        <w:jc w:val="center"/>
        <w:shd w:val="clear" w:fill="FFFFFF" w:color="auto"/>
        <w:rPr>
          <w:b/>
          <w:bCs/>
          <w:color w:val="000000"/>
          <w:sz w:val="16"/>
          <w:szCs w:val="16"/>
        </w:rPr>
      </w:pPr>
      <w:r>
        <w:rPr>
          <w:b/>
          <w:bCs/>
          <w:color w:val="000000"/>
          <w:sz w:val="16"/>
          <w:szCs w:val="16"/>
        </w:rPr>
      </w:r>
      <w:r/>
    </w:p>
    <w:p>
      <w:pPr>
        <w:pStyle w:val="597"/>
        <w:ind w:left="-54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07.12.2011 № 416-ФЗ                                 «О водоснабжении и водоотведении», постан</w:t>
      </w:r>
      <w:r>
        <w:rPr>
          <w:sz w:val="28"/>
          <w:szCs w:val="28"/>
        </w:rPr>
        <w:t xml:space="preserve">овлением Правительства Российской Федерации от 13.05.2013 № 406 «О государственном регулировании тарифов в сфере водоснабжения и водоотведения», Методическими указаниями по расчету регулируемых тарифов в сфере водоснабжения и водоотведения, утвержденными п</w:t>
      </w:r>
      <w:r>
        <w:rPr>
          <w:sz w:val="28"/>
          <w:szCs w:val="28"/>
        </w:rPr>
        <w:t xml:space="preserve">риказом Федеральной службы по тарифам от 27.12.2013 № 1746-э, Положением о Региональной службе по тарифам Ростовской области, утвержденным постановлением Правительства Ростовской области от 13.01.2012 № 20, Региональная служба по тарифам Ростовской области</w:t>
      </w:r>
      <w:r/>
    </w:p>
    <w:p>
      <w:pPr>
        <w:pStyle w:val="597"/>
        <w:ind w:left="-540" w:firstLine="540"/>
        <w:jc w:val="center"/>
        <w:rPr>
          <w:b/>
          <w:sz w:val="10"/>
          <w:szCs w:val="28"/>
        </w:rPr>
      </w:pPr>
      <w:r>
        <w:rPr>
          <w:b/>
          <w:sz w:val="10"/>
          <w:szCs w:val="28"/>
        </w:rPr>
      </w:r>
      <w:r/>
    </w:p>
    <w:p>
      <w:pPr>
        <w:pStyle w:val="597"/>
        <w:ind w:left="-540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постановляет:</w:t>
      </w:r>
      <w:r/>
    </w:p>
    <w:p>
      <w:pPr>
        <w:pStyle w:val="597"/>
        <w:ind w:left="-540" w:firstLine="540"/>
        <w:jc w:val="center"/>
        <w:rPr>
          <w:b/>
          <w:sz w:val="12"/>
          <w:szCs w:val="28"/>
        </w:rPr>
      </w:pPr>
      <w:r>
        <w:rPr>
          <w:b/>
          <w:sz w:val="12"/>
          <w:szCs w:val="28"/>
        </w:rPr>
      </w:r>
      <w:r/>
    </w:p>
    <w:p>
      <w:pPr>
        <w:pStyle w:val="597"/>
        <w:ind w:left="-540" w:firstLine="540"/>
        <w:jc w:val="both"/>
        <w:tabs>
          <w:tab w:val="left" w:pos="-567" w:leader="none"/>
          <w:tab w:val="left" w:pos="567" w:leader="none"/>
          <w:tab w:val="clear" w:pos="708" w:leader="none"/>
        </w:tabs>
        <w:rPr>
          <w:bCs/>
          <w:sz w:val="16"/>
          <w:szCs w:val="16"/>
        </w:rPr>
      </w:pPr>
      <w:r>
        <w:rPr>
          <w:sz w:val="28"/>
          <w:szCs w:val="28"/>
        </w:rPr>
        <w:t xml:space="preserve">1. Установить тарифы в сфере холодного водоснабжения и водоотведения                   (транспортировка сточных вод) ООО «Алексеево» (ИНН 6163129273), Аксайский район</w:t>
      </w:r>
      <w:r>
        <w:rPr>
          <w:bCs/>
          <w:sz w:val="28"/>
          <w:szCs w:val="28"/>
        </w:rPr>
        <w:t xml:space="preserve">, на 2022-2024 годы</w:t>
      </w:r>
      <w:r>
        <w:rPr>
          <w:sz w:val="28"/>
          <w:szCs w:val="28"/>
        </w:rPr>
        <w:t xml:space="preserve">,</w:t>
      </w:r>
      <w:r>
        <w:rPr>
          <w:bCs/>
          <w:sz w:val="28"/>
          <w:szCs w:val="28"/>
        </w:rPr>
        <w:t xml:space="preserve"> согласно приложению № 1 к постановлению.                                                        </w:t>
      </w:r>
      <w:r/>
    </w:p>
    <w:p>
      <w:pPr>
        <w:pStyle w:val="597"/>
        <w:ind w:left="-540" w:firstLine="540"/>
        <w:jc w:val="both"/>
        <w:shd w:val="clear" w:fill="FFFFFF" w:color="auto"/>
      </w:pPr>
      <w:r>
        <w:rPr>
          <w:sz w:val="28"/>
          <w:szCs w:val="28"/>
        </w:rPr>
        <w:t xml:space="preserve">2. Установить долгосрочные параметры регулирования тарифов в сфере холодного водоснабжения и водоотведения (транспортировка сточных вод) ООО «Алексеево» (ИНН 6163129273), Аксайский район</w:t>
      </w:r>
      <w:r>
        <w:rPr>
          <w:bCs/>
          <w:sz w:val="28"/>
          <w:szCs w:val="28"/>
        </w:rPr>
        <w:t xml:space="preserve">, на 2022-2024 годы </w:t>
      </w:r>
      <w:r>
        <w:rPr>
          <w:sz w:val="28"/>
          <w:szCs w:val="28"/>
        </w:rPr>
        <w:t xml:space="preserve">согласно приложению № 2 к постановлению.               </w:t>
      </w:r>
      <w:r/>
    </w:p>
    <w:p>
      <w:pPr>
        <w:pStyle w:val="597"/>
        <w:ind w:left="-540" w:firstLine="540"/>
        <w:jc w:val="both"/>
      </w:pPr>
      <w:r>
        <w:rPr>
          <w:sz w:val="28"/>
          <w:szCs w:val="28"/>
        </w:rPr>
        <w:t xml:space="preserve">3. Тарифы, установленные в пункте 1 постановления, действуют с 1 января 2022 года по 31 декабря 2024 года.</w:t>
      </w:r>
      <w:r/>
    </w:p>
    <w:p>
      <w:pPr>
        <w:pStyle w:val="597"/>
        <w:ind w:left="-540" w:firstLine="540"/>
        <w:jc w:val="both"/>
        <w:tabs>
          <w:tab w:val="left" w:pos="-567" w:leader="none"/>
          <w:tab w:val="left" w:pos="567" w:leader="none"/>
          <w:tab w:val="clear" w:pos="708" w:leader="none"/>
        </w:tabs>
      </w:pPr>
      <w:r>
        <w:rPr>
          <w:sz w:val="28"/>
          <w:szCs w:val="28"/>
        </w:rPr>
        <w:t xml:space="preserve">4. Постановление подлежит официальному опубликованию, размещению на официальном сайте Региональной службы по тарифам Ростовской области http://rst.donland.ru и вступает в силу в установленном порядке.</w:t>
      </w:r>
      <w:r/>
    </w:p>
    <w:p>
      <w:pPr>
        <w:pStyle w:val="597"/>
        <w:ind w:left="-540"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597"/>
        <w:ind w:left="-567" w:firstLine="0"/>
        <w:jc w:val="both"/>
        <w:shd w:val="clear" w:fill="FFFFFF" w:color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Руководитель </w:t>
      </w:r>
      <w:r/>
    </w:p>
    <w:p>
      <w:pPr>
        <w:pStyle w:val="597"/>
        <w:ind w:left="-567" w:firstLine="0"/>
        <w:jc w:val="both"/>
        <w:shd w:val="clear" w:fill="FFFFFF" w:color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Региональной службы по тарифам </w:t>
      </w:r>
      <w:r/>
    </w:p>
    <w:p>
      <w:pPr>
        <w:pStyle w:val="597"/>
        <w:ind w:left="-567" w:firstLine="0"/>
        <w:jc w:val="both"/>
        <w:shd w:val="clear" w:fill="FFFFFF" w:color="auto"/>
      </w:pPr>
      <w:r>
        <w:rPr>
          <w:b/>
          <w:color w:val="000000"/>
          <w:sz w:val="28"/>
          <w:szCs w:val="28"/>
        </w:rPr>
        <w:t xml:space="preserve">Ростовской области                                                                                 А.В. Лукьянов</w:t>
      </w:r>
      <w:r/>
    </w:p>
    <w:sectPr>
      <w:footnotePr/>
      <w:endnotePr/>
      <w:type w:val="nextPage"/>
      <w:pgSz w:w="11906" w:h="16838" w:orient="portrait"/>
      <w:pgMar w:top="568" w:right="567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506030602030204"/>
  </w:font>
  <w:font w:name="Arial">
    <w:panose1 w:val="020B0604020202020204"/>
  </w:font>
  <w:font w:name="DejaVu Sans">
    <w:panose1 w:val="020B0603030804020204"/>
  </w:font>
  <w:font w:name="Times New Roman">
    <w:panose1 w:val="02020603050405020304"/>
  </w:font>
  <w:font w:name="Calibri">
    <w:panose1 w:val="020F050202020403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DejaVu Sans" w:eastAsia="DejaVu Sans" w:hint="default"/>
        <w:sz w:val="24"/>
        <w:szCs w:val="24"/>
        <w:lang w:val="en-US" w:bidi="hi-IN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597"/>
    <w:next w:val="597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597"/>
    <w:next w:val="597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597"/>
    <w:next w:val="597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597"/>
    <w:next w:val="597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597"/>
    <w:next w:val="597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597"/>
    <w:next w:val="597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597"/>
    <w:next w:val="597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597"/>
    <w:next w:val="597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597"/>
    <w:next w:val="597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597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597"/>
    <w:next w:val="597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597"/>
    <w:next w:val="597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597"/>
    <w:next w:val="597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597"/>
    <w:next w:val="597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597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597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character" w:styleId="45">
    <w:name w:val="Caption Char"/>
    <w:basedOn w:val="683"/>
    <w:link w:val="42"/>
    <w:uiPriority w:val="99"/>
  </w:style>
  <w:style w:type="table" w:styleId="46">
    <w:name w:val="Table Grid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text1" w:themeTint="40"/>
    </w:tblPr>
    <w:tblStylePr w:type="band1Horz">
      <w:tcPr>
        <w:shd w:val="clear" w:color="FFFFFF" w:themeColor="text1" w:themeTint="75"/>
      </w:tcPr>
    </w:tblStylePr>
    <w:tblStylePr w:type="band1Vert">
      <w:tcPr>
        <w:shd w:val="clear" w:color="FFFFFF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1" w:themeTint="34"/>
    </w:tblPr>
    <w:tblStylePr w:type="band1Horz">
      <w:tcPr>
        <w:shd w:val="clear" w:color="FFFFFF" w:themeColor="accent1" w:themeTint="75"/>
      </w:tcPr>
    </w:tblStylePr>
    <w:tblStylePr w:type="band1Vert">
      <w:tcPr>
        <w:shd w:val="clear" w:color="FFFFFF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2" w:themeTint="32"/>
    </w:tblPr>
    <w:tblStylePr w:type="band1Horz">
      <w:tcPr>
        <w:shd w:val="clear" w:color="FFFFFF" w:themeColor="accent2" w:themeTint="75"/>
      </w:tcPr>
    </w:tblStylePr>
    <w:tblStylePr w:type="band1Vert">
      <w:tcPr>
        <w:shd w:val="clear" w:color="FFFFFF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3" w:themeTint="34"/>
    </w:tblPr>
    <w:tblStylePr w:type="band1Horz">
      <w:tcPr>
        <w:shd w:val="clear" w:color="FFFFFF" w:themeColor="accent3" w:themeTint="75"/>
      </w:tcPr>
    </w:tblStylePr>
    <w:tblStylePr w:type="band1Vert">
      <w:tcPr>
        <w:shd w:val="clear" w:color="FFFFFF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4" w:themeTint="34"/>
    </w:tblPr>
    <w:tblStylePr w:type="band1Horz">
      <w:tcPr>
        <w:shd w:val="clear" w:color="FFFFFF" w:themeColor="accent4" w:themeTint="75"/>
      </w:tcPr>
    </w:tblStylePr>
    <w:tblStylePr w:type="band1Vert">
      <w:tcPr>
        <w:shd w:val="clear" w:color="FFFFFF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5" w:themeTint="34"/>
    </w:tblPr>
    <w:tblStylePr w:type="band1Horz">
      <w:tcPr>
        <w:shd w:val="clear" w:color="FFFFFF" w:themeColor="accent5" w:themeTint="75"/>
      </w:tcPr>
    </w:tblStylePr>
    <w:tblStylePr w:type="band1Vert">
      <w:tcPr>
        <w:shd w:val="clear" w:color="FFFFFF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6" w:themeTint="34"/>
    </w:tblPr>
    <w:tblStylePr w:type="band1Horz">
      <w:tcPr>
        <w:shd w:val="clear" w:color="FFFFFF" w:themeColor="accent6" w:themeTint="75"/>
      </w:tcPr>
    </w:tblStylePr>
    <w:tblStylePr w:type="band1Vert">
      <w:tcPr>
        <w:shd w:val="clear" w:color="FFFFFF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/>
      </w:tcPr>
    </w:tblStylePr>
    <w:tblStylePr w:type="band1Vert">
      <w:tcPr>
        <w:shd w:val="clear" w:color="FFFFFF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Color="text1" w:themeTint="80"/>
    </w:tblPr>
    <w:tblStylePr w:type="band1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Color="accent1"/>
    </w:tblPr>
    <w:tblStylePr w:type="band1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Color="accent2" w:themeTint="97"/>
    </w:tblPr>
    <w:tblStylePr w:type="band1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Color="accent3" w:themeTint="98"/>
    </w:tblPr>
    <w:tblStylePr w:type="band1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Color="accent4" w:themeTint="9A"/>
    </w:tblPr>
    <w:tblStylePr w:type="band1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Color="accent5" w:themeTint="9A"/>
    </w:tblPr>
    <w:tblStylePr w:type="band1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Color="accent6" w:themeTint="98"/>
    </w:tblPr>
    <w:tblStylePr w:type="band1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152">
    <w:name w:val="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153">
    <w:name w:val="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154">
    <w:name w:val="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155">
    <w:name w:val="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156">
    <w:name w:val="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157">
    <w:name w:val="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158">
    <w:name w:val="Bordered &amp; 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159">
    <w:name w:val="Bordered &amp; 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160">
    <w:name w:val="Bordered &amp; 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161">
    <w:name w:val="Bordered &amp; 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162">
    <w:name w:val="Bordered &amp; 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163">
    <w:name w:val="Bordered &amp; 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164">
    <w:name w:val="Bordered &amp; 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165">
    <w:name w:val="Bordered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597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597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597"/>
    <w:next w:val="597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597"/>
    <w:next w:val="597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597"/>
    <w:next w:val="597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597"/>
    <w:next w:val="597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597"/>
    <w:next w:val="597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597"/>
    <w:next w:val="597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597"/>
    <w:next w:val="597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597"/>
    <w:next w:val="597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597"/>
    <w:next w:val="597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597"/>
    <w:next w:val="597"/>
    <w:uiPriority w:val="99"/>
    <w:unhideWhenUsed/>
    <w:pPr>
      <w:spacing w:after="0" w:afterAutospacing="0"/>
    </w:pPr>
  </w:style>
  <w:style w:type="paragraph" w:styleId="597" w:default="1">
    <w:name w:val="Normal"/>
    <w:qFormat/>
    <w:rPr>
      <w:rFonts w:ascii="Times New Roman" w:hAnsi="Times New Roman" w:cs="Times New Roman" w:eastAsia="Times New Roman"/>
      <w:color w:val="auto"/>
      <w:sz w:val="24"/>
      <w:szCs w:val="24"/>
      <w:lang w:val="ru-RU" w:bidi="ar-SA" w:eastAsia="zh-CN"/>
    </w:rPr>
    <w:pPr>
      <w:widowControl/>
    </w:pPr>
  </w:style>
  <w:style w:type="character" w:styleId="598">
    <w:name w:val="WW8Num1z0"/>
    <w:qFormat/>
  </w:style>
  <w:style w:type="character" w:styleId="599">
    <w:name w:val="WW8Num1z1"/>
    <w:qFormat/>
  </w:style>
  <w:style w:type="character" w:styleId="600">
    <w:name w:val="WW8Num1z2"/>
    <w:qFormat/>
  </w:style>
  <w:style w:type="character" w:styleId="601">
    <w:name w:val="WW8Num1z3"/>
    <w:qFormat/>
  </w:style>
  <w:style w:type="character" w:styleId="602">
    <w:name w:val="WW8Num1z4"/>
    <w:qFormat/>
  </w:style>
  <w:style w:type="character" w:styleId="603">
    <w:name w:val="WW8Num1z5"/>
    <w:qFormat/>
  </w:style>
  <w:style w:type="character" w:styleId="604">
    <w:name w:val="WW8Num1z6"/>
    <w:qFormat/>
  </w:style>
  <w:style w:type="character" w:styleId="605">
    <w:name w:val="WW8Num1z7"/>
    <w:qFormat/>
  </w:style>
  <w:style w:type="character" w:styleId="606">
    <w:name w:val="WW8Num1z8"/>
    <w:qFormat/>
  </w:style>
  <w:style w:type="character" w:styleId="607">
    <w:name w:val="WW8Num2z0"/>
    <w:qFormat/>
  </w:style>
  <w:style w:type="character" w:styleId="608">
    <w:name w:val="WW8Num2z1"/>
    <w:qFormat/>
  </w:style>
  <w:style w:type="character" w:styleId="609">
    <w:name w:val="WW8Num2z2"/>
    <w:qFormat/>
  </w:style>
  <w:style w:type="character" w:styleId="610">
    <w:name w:val="WW8Num2z3"/>
    <w:qFormat/>
  </w:style>
  <w:style w:type="character" w:styleId="611">
    <w:name w:val="WW8Num2z4"/>
    <w:qFormat/>
  </w:style>
  <w:style w:type="character" w:styleId="612">
    <w:name w:val="WW8Num2z5"/>
    <w:qFormat/>
  </w:style>
  <w:style w:type="character" w:styleId="613">
    <w:name w:val="WW8Num2z6"/>
    <w:qFormat/>
  </w:style>
  <w:style w:type="character" w:styleId="614">
    <w:name w:val="WW8Num2z7"/>
    <w:qFormat/>
  </w:style>
  <w:style w:type="character" w:styleId="615">
    <w:name w:val="WW8Num2z8"/>
    <w:qFormat/>
  </w:style>
  <w:style w:type="character" w:styleId="616">
    <w:name w:val="WW8Num3z0"/>
    <w:qFormat/>
  </w:style>
  <w:style w:type="character" w:styleId="617">
    <w:name w:val="WW8Num3z1"/>
    <w:qFormat/>
  </w:style>
  <w:style w:type="character" w:styleId="618">
    <w:name w:val="WW8Num3z2"/>
    <w:qFormat/>
  </w:style>
  <w:style w:type="character" w:styleId="619">
    <w:name w:val="WW8Num3z3"/>
    <w:qFormat/>
  </w:style>
  <w:style w:type="character" w:styleId="620">
    <w:name w:val="WW8Num3z4"/>
    <w:qFormat/>
  </w:style>
  <w:style w:type="character" w:styleId="621">
    <w:name w:val="WW8Num3z5"/>
    <w:qFormat/>
  </w:style>
  <w:style w:type="character" w:styleId="622">
    <w:name w:val="WW8Num3z6"/>
    <w:qFormat/>
  </w:style>
  <w:style w:type="character" w:styleId="623">
    <w:name w:val="WW8Num3z7"/>
    <w:qFormat/>
  </w:style>
  <w:style w:type="character" w:styleId="624">
    <w:name w:val="WW8Num3z8"/>
    <w:qFormat/>
  </w:style>
  <w:style w:type="character" w:styleId="625">
    <w:name w:val="WW8Num4z0"/>
    <w:qFormat/>
  </w:style>
  <w:style w:type="character" w:styleId="626">
    <w:name w:val="WW8Num4z1"/>
    <w:qFormat/>
  </w:style>
  <w:style w:type="character" w:styleId="627">
    <w:name w:val="WW8Num4z2"/>
    <w:qFormat/>
  </w:style>
  <w:style w:type="character" w:styleId="628">
    <w:name w:val="WW8Num4z3"/>
    <w:qFormat/>
  </w:style>
  <w:style w:type="character" w:styleId="629">
    <w:name w:val="WW8Num4z4"/>
    <w:qFormat/>
  </w:style>
  <w:style w:type="character" w:styleId="630">
    <w:name w:val="WW8Num4z5"/>
    <w:qFormat/>
  </w:style>
  <w:style w:type="character" w:styleId="631">
    <w:name w:val="WW8Num4z6"/>
    <w:qFormat/>
  </w:style>
  <w:style w:type="character" w:styleId="632">
    <w:name w:val="WW8Num4z7"/>
    <w:qFormat/>
  </w:style>
  <w:style w:type="character" w:styleId="633">
    <w:name w:val="WW8Num4z8"/>
    <w:qFormat/>
  </w:style>
  <w:style w:type="character" w:styleId="634">
    <w:name w:val="WW8Num5z0"/>
    <w:qFormat/>
  </w:style>
  <w:style w:type="character" w:styleId="635">
    <w:name w:val="WW8Num5z1"/>
    <w:qFormat/>
  </w:style>
  <w:style w:type="character" w:styleId="636">
    <w:name w:val="WW8Num5z2"/>
    <w:qFormat/>
  </w:style>
  <w:style w:type="character" w:styleId="637">
    <w:name w:val="WW8Num5z3"/>
    <w:qFormat/>
  </w:style>
  <w:style w:type="character" w:styleId="638">
    <w:name w:val="WW8Num5z4"/>
    <w:qFormat/>
  </w:style>
  <w:style w:type="character" w:styleId="639">
    <w:name w:val="WW8Num5z5"/>
    <w:qFormat/>
  </w:style>
  <w:style w:type="character" w:styleId="640">
    <w:name w:val="WW8Num5z6"/>
    <w:qFormat/>
  </w:style>
  <w:style w:type="character" w:styleId="641">
    <w:name w:val="WW8Num5z7"/>
    <w:qFormat/>
  </w:style>
  <w:style w:type="character" w:styleId="642">
    <w:name w:val="WW8Num5z8"/>
    <w:qFormat/>
  </w:style>
  <w:style w:type="character" w:styleId="643">
    <w:name w:val="WW8Num6z0"/>
    <w:qFormat/>
  </w:style>
  <w:style w:type="character" w:styleId="644">
    <w:name w:val="WW8Num6z1"/>
    <w:qFormat/>
  </w:style>
  <w:style w:type="character" w:styleId="645">
    <w:name w:val="WW8Num6z2"/>
    <w:qFormat/>
  </w:style>
  <w:style w:type="character" w:styleId="646">
    <w:name w:val="WW8Num6z3"/>
    <w:qFormat/>
  </w:style>
  <w:style w:type="character" w:styleId="647">
    <w:name w:val="WW8Num6z4"/>
    <w:qFormat/>
  </w:style>
  <w:style w:type="character" w:styleId="648">
    <w:name w:val="WW8Num6z5"/>
    <w:qFormat/>
  </w:style>
  <w:style w:type="character" w:styleId="649">
    <w:name w:val="WW8Num6z6"/>
    <w:qFormat/>
  </w:style>
  <w:style w:type="character" w:styleId="650">
    <w:name w:val="WW8Num6z7"/>
    <w:qFormat/>
  </w:style>
  <w:style w:type="character" w:styleId="651">
    <w:name w:val="WW8Num6z8"/>
    <w:qFormat/>
  </w:style>
  <w:style w:type="character" w:styleId="652">
    <w:name w:val="WW8Num7z0"/>
    <w:qFormat/>
  </w:style>
  <w:style w:type="character" w:styleId="653">
    <w:name w:val="WW8Num7z1"/>
    <w:qFormat/>
  </w:style>
  <w:style w:type="character" w:styleId="654">
    <w:name w:val="WW8Num7z2"/>
    <w:qFormat/>
  </w:style>
  <w:style w:type="character" w:styleId="655">
    <w:name w:val="WW8Num7z3"/>
    <w:qFormat/>
  </w:style>
  <w:style w:type="character" w:styleId="656">
    <w:name w:val="WW8Num7z4"/>
    <w:qFormat/>
  </w:style>
  <w:style w:type="character" w:styleId="657">
    <w:name w:val="WW8Num7z5"/>
    <w:qFormat/>
  </w:style>
  <w:style w:type="character" w:styleId="658">
    <w:name w:val="WW8Num7z6"/>
    <w:qFormat/>
  </w:style>
  <w:style w:type="character" w:styleId="659">
    <w:name w:val="WW8Num7z7"/>
    <w:qFormat/>
  </w:style>
  <w:style w:type="character" w:styleId="660">
    <w:name w:val="WW8Num7z8"/>
    <w:qFormat/>
  </w:style>
  <w:style w:type="character" w:styleId="661">
    <w:name w:val="WW8Num8z0"/>
    <w:qFormat/>
  </w:style>
  <w:style w:type="character" w:styleId="662">
    <w:name w:val="WW8Num8z1"/>
    <w:qFormat/>
  </w:style>
  <w:style w:type="character" w:styleId="663">
    <w:name w:val="WW8Num8z2"/>
    <w:qFormat/>
  </w:style>
  <w:style w:type="character" w:styleId="664">
    <w:name w:val="WW8Num8z3"/>
    <w:qFormat/>
  </w:style>
  <w:style w:type="character" w:styleId="665">
    <w:name w:val="WW8Num8z4"/>
    <w:qFormat/>
  </w:style>
  <w:style w:type="character" w:styleId="666">
    <w:name w:val="WW8Num8z5"/>
    <w:qFormat/>
  </w:style>
  <w:style w:type="character" w:styleId="667">
    <w:name w:val="WW8Num8z6"/>
    <w:qFormat/>
  </w:style>
  <w:style w:type="character" w:styleId="668">
    <w:name w:val="WW8Num8z7"/>
    <w:qFormat/>
  </w:style>
  <w:style w:type="character" w:styleId="669">
    <w:name w:val="WW8Num8z8"/>
    <w:qFormat/>
  </w:style>
  <w:style w:type="character" w:styleId="670">
    <w:name w:val="WW8Num9z0"/>
    <w:qFormat/>
  </w:style>
  <w:style w:type="character" w:styleId="671">
    <w:name w:val="WW8Num9z1"/>
    <w:qFormat/>
  </w:style>
  <w:style w:type="character" w:styleId="672">
    <w:name w:val="WW8Num9z2"/>
    <w:qFormat/>
  </w:style>
  <w:style w:type="character" w:styleId="673">
    <w:name w:val="WW8Num9z3"/>
    <w:qFormat/>
  </w:style>
  <w:style w:type="character" w:styleId="674">
    <w:name w:val="WW8Num9z4"/>
    <w:qFormat/>
  </w:style>
  <w:style w:type="character" w:styleId="675">
    <w:name w:val="WW8Num9z5"/>
    <w:qFormat/>
  </w:style>
  <w:style w:type="character" w:styleId="676">
    <w:name w:val="WW8Num9z6"/>
    <w:qFormat/>
  </w:style>
  <w:style w:type="character" w:styleId="677">
    <w:name w:val="WW8Num9z7"/>
    <w:qFormat/>
  </w:style>
  <w:style w:type="character" w:styleId="678">
    <w:name w:val="WW8Num9z8"/>
    <w:qFormat/>
  </w:style>
  <w:style w:type="character" w:styleId="679">
    <w:name w:val="Основной шрифт абзаца"/>
    <w:qFormat/>
  </w:style>
  <w:style w:type="paragraph" w:styleId="680">
    <w:name w:val="Heading"/>
    <w:basedOn w:val="597"/>
    <w:next w:val="681"/>
    <w:qFormat/>
    <w:rPr>
      <w:rFonts w:ascii="Arial" w:hAnsi="Arial" w:cs="DejaVu Sans" w:eastAsia="DejaVu Sans"/>
      <w:sz w:val="28"/>
      <w:szCs w:val="28"/>
    </w:rPr>
    <w:pPr>
      <w:keepNext/>
      <w:spacing w:after="120" w:before="240"/>
    </w:pPr>
  </w:style>
  <w:style w:type="paragraph" w:styleId="681">
    <w:name w:val="Body Text"/>
    <w:basedOn w:val="597"/>
    <w:pPr>
      <w:spacing w:lineRule="auto" w:line="276" w:after="140" w:before="0"/>
    </w:pPr>
  </w:style>
  <w:style w:type="paragraph" w:styleId="682">
    <w:name w:val="List"/>
    <w:basedOn w:val="681"/>
  </w:style>
  <w:style w:type="paragraph" w:styleId="683">
    <w:name w:val="Caption"/>
    <w:basedOn w:val="597"/>
    <w:qFormat/>
    <w:rPr>
      <w:i/>
      <w:iCs/>
      <w:sz w:val="24"/>
      <w:szCs w:val="24"/>
    </w:rPr>
    <w:pPr>
      <w:spacing w:after="120" w:before="120"/>
      <w:suppressLineNumbers/>
    </w:pPr>
  </w:style>
  <w:style w:type="paragraph" w:styleId="684">
    <w:name w:val="Index"/>
    <w:basedOn w:val="597"/>
    <w:qFormat/>
    <w:pPr>
      <w:suppressLineNumbers/>
    </w:pPr>
  </w:style>
  <w:style w:type="paragraph" w:styleId="685">
    <w:name w:val="ConsTitle"/>
    <w:qFormat/>
    <w:rPr>
      <w:rFonts w:ascii="Arial" w:hAnsi="Arial" w:cs="Arial" w:eastAsia="Times New Roman"/>
      <w:b/>
      <w:bCs/>
      <w:color w:val="auto"/>
      <w:sz w:val="16"/>
      <w:szCs w:val="16"/>
      <w:lang w:val="ru-RU" w:bidi="ar-SA" w:eastAsia="zh-CN"/>
    </w:rPr>
    <w:pPr>
      <w:widowControl w:val="off"/>
    </w:pPr>
  </w:style>
  <w:style w:type="paragraph" w:styleId="686">
    <w:name w:val="ConsPlusTitle"/>
    <w:qFormat/>
    <w:rPr>
      <w:rFonts w:ascii="Times New Roman" w:hAnsi="Times New Roman" w:cs="Times New Roman" w:eastAsia="Times New Roman"/>
      <w:b/>
      <w:bCs/>
      <w:color w:val="auto"/>
      <w:sz w:val="24"/>
      <w:szCs w:val="24"/>
      <w:lang w:val="ru-RU" w:bidi="ar-SA" w:eastAsia="zh-CN"/>
    </w:rPr>
    <w:pPr>
      <w:widowControl/>
    </w:pPr>
  </w:style>
  <w:style w:type="paragraph" w:styleId="687">
    <w:name w:val=" Знак1 Знак Знак Знак"/>
    <w:basedOn w:val="597"/>
    <w:qFormat/>
    <w:rPr>
      <w:rFonts w:ascii="Tahoma" w:hAnsi="Tahoma" w:cs="Tahoma"/>
      <w:sz w:val="20"/>
      <w:szCs w:val="20"/>
      <w:lang w:val="en-US"/>
    </w:rPr>
    <w:pPr>
      <w:spacing w:after="280" w:before="280"/>
    </w:pPr>
  </w:style>
  <w:style w:type="paragraph" w:styleId="688">
    <w:name w:val="Текст выноски"/>
    <w:basedOn w:val="597"/>
    <w:qFormat/>
    <w:rPr>
      <w:rFonts w:ascii="Tahoma" w:hAnsi="Tahoma" w:cs="Tahoma"/>
      <w:sz w:val="16"/>
      <w:szCs w:val="16"/>
    </w:rPr>
  </w:style>
  <w:style w:type="paragraph" w:styleId="689">
    <w:name w:val="ConsPlusNormal"/>
    <w:qFormat/>
    <w:rPr>
      <w:rFonts w:ascii="Arial" w:hAnsi="Arial" w:cs="Arial" w:eastAsia="Times New Roman"/>
      <w:color w:val="auto"/>
      <w:sz w:val="20"/>
      <w:szCs w:val="20"/>
      <w:lang w:val="ru-RU" w:bidi="ar-SA" w:eastAsia="zh-CN"/>
    </w:rPr>
    <w:pPr>
      <w:ind w:firstLine="720"/>
      <w:widowControl w:val="off"/>
    </w:pPr>
  </w:style>
  <w:style w:type="paragraph" w:styleId="690">
    <w:name w:val="Знак1 Знак Знак Знак"/>
    <w:basedOn w:val="597"/>
    <w:qFormat/>
    <w:rPr>
      <w:rFonts w:ascii="Tahoma" w:hAnsi="Tahoma" w:cs="Tahoma"/>
      <w:sz w:val="20"/>
      <w:szCs w:val="20"/>
      <w:lang w:val="en-US"/>
    </w:rPr>
    <w:pPr>
      <w:spacing w:after="280" w:before="280"/>
    </w:pPr>
  </w:style>
  <w:style w:type="numbering" w:styleId="691">
    <w:name w:val="WW8Num1"/>
    <w:qFormat/>
  </w:style>
  <w:style w:type="numbering" w:styleId="692">
    <w:name w:val="WW8Num2"/>
    <w:qFormat/>
  </w:style>
  <w:style w:type="numbering" w:styleId="693">
    <w:name w:val="WW8Num3"/>
    <w:qFormat/>
  </w:style>
  <w:style w:type="numbering" w:styleId="694">
    <w:name w:val="WW8Num4"/>
    <w:qFormat/>
  </w:style>
  <w:style w:type="numbering" w:styleId="695">
    <w:name w:val="WW8Num5"/>
    <w:qFormat/>
  </w:style>
  <w:style w:type="numbering" w:styleId="696">
    <w:name w:val="WW8Num6"/>
    <w:qFormat/>
  </w:style>
  <w:style w:type="numbering" w:styleId="697">
    <w:name w:val="WW8Num7"/>
    <w:qFormat/>
  </w:style>
  <w:style w:type="numbering" w:styleId="698">
    <w:name w:val="WW8Num8"/>
    <w:qFormat/>
  </w:style>
  <w:style w:type="numbering" w:styleId="699">
    <w:name w:val="WW8Num9"/>
    <w:qFormat/>
  </w:style>
  <w:style w:type="character" w:styleId="826" w:default="1">
    <w:name w:val="Default Paragraph Font"/>
    <w:uiPriority w:val="1"/>
    <w:semiHidden/>
    <w:unhideWhenUsed/>
  </w:style>
  <w:style w:type="numbering" w:styleId="827" w:default="1">
    <w:name w:val="No List"/>
    <w:uiPriority w:val="99"/>
    <w:semiHidden/>
    <w:unhideWhenUsed/>
  </w:style>
  <w:style w:type="table" w:styleId="82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R7-Office/6.3.1.43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subject/>
  <dc:creator>Пользователь</dc:creator>
  <dc:description/>
  <dc:language>en-US</dc:language>
  <cp:lastModifiedBy>Ольга Федулова</cp:lastModifiedBy>
  <cp:revision>8</cp:revision>
  <dcterms:created xsi:type="dcterms:W3CDTF">2021-12-20T09:45:00Z</dcterms:created>
  <dcterms:modified xsi:type="dcterms:W3CDTF">2021-12-27T10:34:46Z</dcterms:modified>
</cp:coreProperties>
</file>